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24 70 vom 4. April 2025</w:t>
      </w:r>
    </w:p>
    <w:p>
      <w:r>
        <w:t>BL Gerichte, 2025-04-04, DE</w:t>
      </w:r>
    </w:p>
    <w:p>
      <w:r>
        <w:rPr>
          <w:b/>
        </w:rPr>
        <w:t xml:space="preserve">Quelle: </w:t>
      </w:r>
      <w:r>
        <w:t>https://mcp.opencaselaw.ch/entscheid/bl_gerichte_510 24 70</w:t>
      </w:r>
    </w:p>
    <w:p>
      <w:r>
        <w:t>FR: BL_GERICHTE 510 24 70 du 4 avril 2025</w:t>
      </w:r>
    </w:p>
    <w:p>
      <w:r>
        <w:t>IT: BL_GERICHTE 510 24 70 del 4 aprile 2025</w:t>
      </w:r>
    </w:p>
    <w:p>
      <w:pPr>
        <w:pStyle w:val="Heading2"/>
      </w:pPr>
      <w:r>
        <w:t>Regeste</w:t>
      </w:r>
    </w:p>
    <w:p>
      <w:r>
        <w:t>Amtliche Einschätzung</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1 StG werden Rekurse, deren umstrittener Steuerbetrag wie im vorliegenden Fall CHF 3'000.– pro Steuerjahr nicht übersteigt, vom Präsidenten des Steuergerichts als Einzelrichter beurteilt. Da die in formeller Hinsicht an einen Rekurs zu stellenden Anforderungen erfüllt sind, ist ohne weitere Ausführungen darauf einzutreten.</w:t>
      </w:r>
    </w:p>
    <w:p>
      <w:r>
        <w:rPr>
          <w:b/>
        </w:rPr>
        <w:t>E. 2.1</w:t>
      </w:r>
    </w:p>
    <w:p>
      <w:r>
        <w:t>In der Schweiz und damit im Kanton Basel-Landschaft kennen wir das gemischte Veranlagungsverfahren, welches sich durch das Zusammenwirken von Steuerpflichtigem und Veranlagungsbehörde aus (Kooperationsmaxime) zeichnet. Der Steuerpflichtige ist zur Selbstdeklaration und zur Mitwirkung an der behördlichen Sachverhaltsermittlung verpflichtet (Veranlagungspflichten). Die Steuerbehörde hat den Sachverhalt zu untersuchen (Untersuchungspflicht) und in der Folge die Veranlagung zu erlassen. Kommt der Pflichtige seinen Mitwirkungspflichten nicht nach, muss die Steuerverwaltung die relevanten Steuerfaktoren auf Basis der ihr zur Verfügung stehenden Informationen und auf Basis der allgemeinen Lebenserfahrung nach pflichtgemässem Ermessen schätzen. 1</w:t>
      </w:r>
    </w:p>
    <w:p>
      <w:r>
        <w:rPr>
          <w:b/>
        </w:rPr>
        <w:t>E. 2.2</w:t>
      </w:r>
    </w:p>
    <w:p>
      <w:r>
        <w:t>Gemäss § 106 Abs. 1 und 2 StG wird der Steuerpflichtige, wenn er innerhalb der festgesetzten Nachfrist und Mahnung die Steuererklärung nicht einreicht oder vervollständigt, von Amtes wegen eingeschätzt. Eine amtliche Einschätzung kann der Steuerpflichtige gemäss § 106 StG nur wegen offensichtlicher Unrichtigkeit anfechten. Die Einsprache gegen die amtliche Einschätzung ist gemäss § 122 Abs. 1 und 2 StG innert der Einsprachefrist von 30 Tagen zu begründen und muss allfällige Beweismittel nennen (sog. Unrichtigkeitsnachweis). 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blosse Teilnachweise genügen nicht. In der Begründung der Einsprache ist daher der Sachverhalt in substantiierter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zu begründen.</w:t>
      </w:r>
    </w:p>
    <w:p>
      <w:r>
        <w:rPr>
          <w:b/>
        </w:rPr>
        <w:t>E. 2.3</w:t>
      </w:r>
    </w:p>
    <w:p>
      <w:r>
        <w:t>Das Bundesgericht hat seine frühere, nicht immer einheitliche, Rechtsprechung in dem Sinne verdeutlicht, als dass die erwähnten gesetzlichen Bestimmungen nicht vorschreiben, dass eine Einsprache gegen eine Ermessenseinschätzung wegen versäumter Mitwirkungshandlungen nur gültig ist, wenn damit gleichzeitig das Versäumte nachgeholt wird. Nach der neueren Rechtsprechung ist daher das Nachreichen einer bisher nicht vorgelegten Steuererklärung nicht Gültigkeitsvoraussetzung der Einsprache. Die Untersuchungspflicht der Steuerbehörde lebt wieder auf, wenn die Ungewissheit des Sachverhalts, die zur ermessensweisen Einschätzung geführt hat, durch den Steuerpflichtigen beseitigt worden ist.</w:t>
      </w:r>
    </w:p>
    <w:p>
      <w:r>
        <w:rPr>
          <w:b/>
        </w:rPr>
        <w:t>E. 2.4</w:t>
      </w:r>
    </w:p>
    <w:p>
      <w:r>
        <w:t>Wird auf die Einsprache gegen eine Ermessensveranlagung nicht eingetreten, so kann nur diese Eintretensfrage und nicht die materielle Richtigkeit der Veranlagung Gegenstand des nachfolgenden Rechtsmittelverfahrens bilden. Es muss und kann also ausschliesslich geltend gemacht werden, dass und weshalb (aufgrund des damaligen Aktenstandes) auf die Einsprache hätte eingetreten werden müssen. Aufgrund der Beschränkung des Streitgegenstands kann die steuerpflichtige Person vor der Rekursinstanz keine neuen Beweismittel mehr vorbringen.</w:t>
      </w:r>
    </w:p>
    <w:p>
      <w:r>
        <w:rPr>
          <w:b/>
        </w:rPr>
        <w:t>E. 2.5</w:t>
      </w:r>
    </w:p>
    <w:p>
      <w:r>
        <w:t>Vorliegend hat die amtliche Veranlagung ihre Ursache darin, dass die Rekurrentin trotz mit A-Post Plus-Sendung versandter letzter Mahnung vom 11. August 2022 und von der Steuerverwaltung eingeräumter Nachfrist bis zum 31. Dezember 2024 keine Unterlagen zur Steuerperiode 2021 innert der erteilten Frist eingereicht hat. Mit der am 27. Oktober 2024 per E-Mail elektronisch erhobenen Einsprache gegen die amtliche Einschätzung der Staatssteuer 2021 vom 21. März 2024 reichte sie zwar einen nicht unterzeichneter Deklarationsbogen und das dazugehörige «Steuerbudget (für Eigengebrauch)» ein, jedoch keine Belege. Die Steuerverwaltung ist in der Folge auf die Einsprache der Pflichtigen eingetreten und geprüft, ob die strittige Veranlagungsverfügung die Steuern «künstlich», «willkürlich» oder «pönal» festgelegt hat und ob mittels nachgereichtem EasyTax-Ausdruck eine (nachträgliche) Änderung der Steuerfaktoren möglich sei und kam zum Schluss: «Der Unrichtigkeitsnachweis der Einschätzung von Amtes wegen ist weder formell (fehlende Unterschrift auf dem Begehren und der nachgereichten Steuererklärung) noch materiell (Steuererklärung mit sämtlichen Belegen, vor allem für steuermindernde Tatsachen) erbracht worden. Das Steuerbetreffnis gemäss Veranlagung hat überdies keinen bestrafenden Charakter. Vielmehr ist das Ergebnis sachgerecht, weil insbesondere das steuerbare Einkommen mit den von ihnen nachgereichten Informationen übereinstimmt. Die Differenz beim steuerbaren Gesamteinkommen (und Vermögen) ist daher in Kauf zu nehmen.»</w:t>
      </w:r>
    </w:p>
    <w:p>
      <w:r>
        <w:rPr>
          <w:b/>
        </w:rPr>
        <w:t>E. 2.6</w:t>
      </w:r>
    </w:p>
    <w:p>
      <w:r>
        <w:t>Sowohl mit der Rekursschrift vom 8. November 2024 wie auch mit der Eingabe vom 2. Februar 2025 versäumte es die Rekurrentin neue Beweismittel einzureichen, sondern hat nur ihre in der Einsprache bereits gemachten Ausführungen weiter konkretisiert: So fehle der Nachweis der Steuerverwaltung über die versandten Rechnungen und Mahnungen. Die Zustellung der Bescheide sei nicht ordnungsgemäss erfolgt. Der Bundesentscheid von 2024 besage, dass Steuerveranlagungen, die den Eindruck erweckten, eine Strafe für die steuerpflichtige Person darzustellen, erneut zu berechnen seien. Die Steuerverwaltung habe fälschlicherweise einen Betrag von CHF 11'000.– aus der Säule 3a in die Vermögenssteuer einbezogen. Schliesslich bestehe eine Diskrepanz zwischen der EasyTax-Berechnung und der erhobenen Steuerlast. Während die gesamte Steuerlast für das Jahr 2021 CHF 4’840.50 betrage, erhebe die Steuerverwaltung jedoch allein für die Staatssteuer einen Betrag von knapp CHF 4’494.55. Auch die Gemeindesteuerforderung sei unklar und überhöht. Die Steuerverwaltung verlange hierfür einen Betrag von CHF 2’324.90, während die EasyTax-Berechnung eine Belastung von CHF 1’431.60 anzeige. Die Rekurrentin hat mit ihren Ausführungen in der Einsprache weder Beweismittel ins Recht gelegt, noch den Sachverhalt in substantiierter Weise dargelegt und es auch im Rahmen der heutigen Parteiverhandlung erneut versäumt, Unterlagen einzureichen, die belegen könnten, inwieweit die von der Steuerverwaltung vorgenommene Einschätzung offensichtlich unrichtig wäre. Es genügt nicht, wenn die Pflichtige geltend macht, es seien einzelne Abzüge nicht berücksichtigt worden oder pauschal behauptet das Steuerbetreffnis sei zu hoch und diese Behauptungen nicht belegt, sondern einzig das für den Eigengebrauch gedachte Steuerbudget/-berechnung einreicht. Würden nämlich Teilkorrekturen der Ermessenseinschätzung zugelassen, würde die säumige Steuerpflichtige gegenüber demjenigen, der seine Mitwirkungspflichten voll erfüllt, in einem nicht erträglichen Mass begünstigt: Es würde ihr zugestanden, in den Teilbereichen, in welchen erhöhte Gewinnungskosten oder verrechenbare Verluste angefallen sind, diese in Rechnung zu stellen, während in weiteren Teilbereichen, in welchen die Ermessenseinschätzung möglicherweise günstig ausgefallen ist, keine Änderungen eintreten würden.</w:t>
      </w:r>
    </w:p>
    <w:p>
      <w:r>
        <w:rPr>
          <w:b/>
        </w:rPr>
        <w:t>E. 3</w:t>
      </w:r>
    </w:p>
    <w:p>
      <w:r>
        <w:t>Diese Bundesgerichtspraxis wurde in BGer 2C_714/2013 / 2C_716/2013 vom 3. September 2013 weiter präzisiert: Der Nachweis der offensichtlichen Unrichtigkeit ist nach der bundesgerichtlichen Rechtsprechung umfassend zu führen und könne nicht nur einzelne Positionen der Ermessensveranlagung betreffen. Vielmehr habe der Steuerpflichtige, der seine Mitwirkungspflichten im Veranlagungsverfahren nicht erfüllt und dadurch eine Ermessensveranlagung bewirkt habe, in der Regel die versäumte Mitwirkungshandlung (Steuererklärung bzw. fehlende Belege) nachzuholen, um die Einsprache genügend zu begründen. Die Steuerbehörde sei dadurch in die Lage zu versetzten, dass diese aufgrund der Begründung und der eingereichten und ohne nachzufordernde zusätzliche Unterlagen ohne weiteres feststellen könne, dass die Ermessensveranlagung offensichtlich unrichtig sei.</w:t>
      </w:r>
    </w:p>
    <w:p>
      <w:r>
        <w:rPr>
          <w:b/>
        </w:rPr>
        <w:t>E. 4</w:t>
      </w:r>
    </w:p>
    <w:p>
      <w:r>
        <w:t>Die Einreichung einer vollständigen Steuererklärung erscheint als die am nächsten liegende Vorgehensweise für die Begründung einer solchen Einsprache. Es ist der steuerpflichtigen Person aber nicht verwehrt, die Einsprache auf eine andere, gleichwertige Weise zu begründen. Dies gilt umso mehr, wenn die steuerpflichtige Person nicht die Rückkehr zur ordentlichen Veranlagung, sondern lediglich eine Korrektur der ihrer Ansicht nach offensichtlich unrichtigen Schätzung anstrebe.</w:t>
      </w:r>
    </w:p>
    <w:p>
      <w:r>
        <w:rPr>
          <w:b/>
        </w:rPr>
        <w:t>E. 5</w:t>
      </w:r>
    </w:p>
    <w:p>
      <w:r>
        <w:t>Aber auch Laien muss bewusst sein, dass sie sich nicht darauf beschränken könnten, die amtliche Veranlagung innert der Einsprachefrist mit pauschalen und gänzlich unbegründeten bzw. unbelegt gebliebenen Behauptungen in Zweifel zu ziehen.</w:t>
      </w:r>
    </w:p>
    <w:p>
      <w:r>
        <w:rPr>
          <w:b/>
        </w:rPr>
        <w:t>E. 7</w:t>
      </w:r>
    </w:p>
    <w:p>
      <w:r>
        <w:t>Wenn die Einsprachebehörde zwar auf die Rüge eingetreten ist, es habe an den (formellen) Voraussetzungen für die Ermessensveranlagung gefehlt, nicht hingegen auf die Rüge, die Ermessenseinschätzung als solche sei «offensichtlich unrichtig» gewesen, können im Rekursverfahren – in logischer Fortführung des vorstehend Ausgeführten – nur hinsichtlich der Zulässigkeit der Ermessensveranlagung Noven vorgebracht werden. Dies gilt grundsätzlich auch für ein (allfälliges) weiteres kantonales Rekursresp. Beschwerdeverfahren.</w:t>
      </w:r>
    </w:p>
    <w:p>
      <w:r>
        <w:rPr>
          <w:b/>
        </w:rPr>
        <w:t>E. 8</w:t>
      </w:r>
    </w:p>
    <w:p>
      <w:r>
        <w:t>Ist der Unrichtigkeitsnachweis nicht gehörig angetreten oder geleistet worden, so besteht die angefochtene Ermessensveranlagung fort. Dennoch ist die in der Ermessensveranlagung getroffene Schätzung einer Prüfung zu unterziehen. Die Schätzung ist indessen nicht frei, also auf Angemessenheit hin, sondern nur eingeschränkt überprüfbar. Sie ist bloss dann aufzuheben, wenn sie nicht sachgerecht ist, z.B. erkennbar pönal oder fiskalisch motiviert, oder wenn sie unwahrscheinlich oder unvernünftig ist.</w:t>
      </w:r>
    </w:p>
    <w:p>
      <w:r>
        <w:rPr>
          <w:b/>
        </w:rPr>
        <w:t>E. 10</w:t>
      </w:r>
    </w:p>
    <w:p>
      <w:r>
        <w:t>Mit diesem Verfahren werden die Rechte der nach Ermessen eingeschätzten Pflichtigen nicht eingeschränkt, sondern sie wird lediglich demjenigen gleichgestellt, der seine Mitwirkungspflichten ordnungsgemäss erfüllt hat.</w:t>
      </w:r>
    </w:p>
    <w:p>
      <w:r>
        <w:rPr>
          <w:b/>
        </w:rPr>
        <w:t>E. 11</w:t>
      </w:r>
    </w:p>
    <w:p>
      <w:r>
        <w:t>Die vorliegend vorgebrachten Beanstandungen allgemeiner Art genügen somit den erhöhten Anforderungen der Begründungspflicht gegen eine amtliche Veranlagung nicht. Die amtliche Einschätzung ist zudem weder als pönal oder als fiskalisch motiviert noch als unvernünftig anzusehen: Das steuerbare Lohneinkommen gemäss elektronisch nachgereichtem EasyTax-Ausdruck wurde durch die Rekurrentin selbst im Einklang mit dem Veranlagungsergebnis mit CHF 59'260.– angegeben. Beim aufgerechneten Wertschriftenertrag von CHF 28.–, der einer Verzinsung von 0.25 % p.a. der ermessensweise erfolgten Vermögensaufrechnung von CHF 11'000.– entspricht, handelt es sich um eine moderate Aufrechnung, die ein generell anzunehmendes Vorhandensein von Vermögenswerten und entsprechendem Wertschriftenertrag abbildet. Diese sind nach allgemeiner Lebenserfahrung grundsätzlich zur Bestreitung des täglichen Lebensbedarfs notwendig. Weiter berücksichtigte die Steuerverwaltung die üblichen Abzüge für Fahrtkosten, Berufskosten und Versicherungsprämien. Bezüglich der Vermögensaufrechnung von CHF 11'000.– ist festzuhalten, dass die Rekurrentin nicht beschwert ist, da keine Vermögenssteuern anfallen. 3. Nach dem Ausgeführten erweist sich der Rekurs als unbegründet und ist abzuweisen. Ausgangsgemäss hat die Rekurrentin gestützt auf § 130 StG i.V.m. § 20 Abs. 1 und 3 des Gesetzes vom 16. Dezember 1993 über die Verfassungs- und Verwaltungsprozessordnung (Verwaltungsprozessordnung, VPO; SGS 271) die Verfahrenskosten in Höhe von CHF 750.– zu bezahlen.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